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AB703" w14:textId="3B94E781" w:rsidR="001F4FE7" w:rsidRDefault="001844D0" w:rsidP="001844D0">
      <w:pPr>
        <w:jc w:val="center"/>
      </w:pPr>
      <w:r>
        <w:rPr>
          <w:noProof/>
        </w:rPr>
        <w:drawing>
          <wp:inline distT="0" distB="0" distL="0" distR="0" wp14:anchorId="32975FBD" wp14:editId="7890BDF2">
            <wp:extent cx="2224800" cy="1209600"/>
            <wp:effectExtent l="0" t="0" r="4445" b="0"/>
            <wp:docPr id="4608276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24800" cy="1209600"/>
                    </a:xfrm>
                    <a:prstGeom prst="rect">
                      <a:avLst/>
                    </a:prstGeom>
                    <a:noFill/>
                    <a:ln>
                      <a:noFill/>
                    </a:ln>
                  </pic:spPr>
                </pic:pic>
              </a:graphicData>
            </a:graphic>
          </wp:inline>
        </w:drawing>
      </w:r>
    </w:p>
    <w:p w14:paraId="4C549DBC" w14:textId="77777777" w:rsidR="001844D0" w:rsidRDefault="001844D0" w:rsidP="001844D0">
      <w:pPr>
        <w:jc w:val="center"/>
      </w:pPr>
    </w:p>
    <w:p w14:paraId="1985FFC5" w14:textId="77777777" w:rsidR="001844D0" w:rsidRDefault="001844D0" w:rsidP="001844D0">
      <w:pPr>
        <w:jc w:val="center"/>
      </w:pPr>
    </w:p>
    <w:p w14:paraId="7636A4F5" w14:textId="77777777" w:rsidR="001844D0" w:rsidRDefault="001844D0" w:rsidP="001844D0">
      <w:pPr>
        <w:jc w:val="center"/>
      </w:pPr>
    </w:p>
    <w:p w14:paraId="61A4FDDC" w14:textId="77777777" w:rsidR="001844D0" w:rsidRDefault="001844D0" w:rsidP="001844D0">
      <w:pPr>
        <w:jc w:val="center"/>
      </w:pPr>
    </w:p>
    <w:p w14:paraId="085E8C05" w14:textId="77777777" w:rsidR="001844D0" w:rsidRDefault="001844D0" w:rsidP="001844D0">
      <w:pPr>
        <w:jc w:val="center"/>
      </w:pPr>
    </w:p>
    <w:p w14:paraId="3FF2B572" w14:textId="77777777" w:rsidR="001844D0" w:rsidRDefault="001844D0" w:rsidP="001844D0">
      <w:pPr>
        <w:jc w:val="center"/>
      </w:pPr>
    </w:p>
    <w:p w14:paraId="57D51172" w14:textId="77777777" w:rsidR="001844D0" w:rsidRDefault="001844D0" w:rsidP="001844D0">
      <w:pPr>
        <w:jc w:val="center"/>
      </w:pPr>
    </w:p>
    <w:p w14:paraId="5C1EFA90" w14:textId="48918376" w:rsidR="001844D0" w:rsidRDefault="001844D0" w:rsidP="001844D0">
      <w:pPr>
        <w:jc w:val="center"/>
        <w:rPr>
          <w:rFonts w:ascii="Arial" w:hAnsi="Arial" w:cs="Arial"/>
          <w:b/>
          <w:bCs/>
          <w:sz w:val="32"/>
          <w:szCs w:val="32"/>
        </w:rPr>
      </w:pPr>
      <w:r w:rsidRPr="001844D0">
        <w:rPr>
          <w:rFonts w:ascii="Arial" w:hAnsi="Arial" w:cs="Arial"/>
          <w:b/>
          <w:bCs/>
          <w:sz w:val="32"/>
          <w:szCs w:val="32"/>
        </w:rPr>
        <w:t xml:space="preserve">RAPPORT ANNUEL SUR L’APPLICATION DU RÈGLEMENT NUMÉRO </w:t>
      </w:r>
      <w:r w:rsidR="00130504">
        <w:rPr>
          <w:rFonts w:ascii="Arial" w:hAnsi="Arial" w:cs="Arial"/>
          <w:b/>
          <w:bCs/>
          <w:sz w:val="32"/>
          <w:szCs w:val="32"/>
        </w:rPr>
        <w:t xml:space="preserve">V-266-2025 </w:t>
      </w:r>
      <w:r w:rsidRPr="001844D0">
        <w:rPr>
          <w:rFonts w:ascii="Arial" w:hAnsi="Arial" w:cs="Arial"/>
          <w:b/>
          <w:bCs/>
          <w:sz w:val="32"/>
          <w:szCs w:val="32"/>
        </w:rPr>
        <w:t>SUR LA GESTION CONTRACTUELLE POUR L’ANNÉE 2025</w:t>
      </w:r>
    </w:p>
    <w:p w14:paraId="5087D452" w14:textId="77777777" w:rsidR="001844D0" w:rsidRDefault="001844D0" w:rsidP="001844D0">
      <w:pPr>
        <w:jc w:val="center"/>
        <w:rPr>
          <w:rFonts w:ascii="Arial" w:hAnsi="Arial" w:cs="Arial"/>
          <w:b/>
          <w:bCs/>
          <w:sz w:val="32"/>
          <w:szCs w:val="32"/>
        </w:rPr>
      </w:pPr>
    </w:p>
    <w:p w14:paraId="6031542A" w14:textId="77777777" w:rsidR="001844D0" w:rsidRDefault="001844D0" w:rsidP="001844D0">
      <w:pPr>
        <w:jc w:val="center"/>
        <w:rPr>
          <w:rFonts w:ascii="Arial" w:hAnsi="Arial" w:cs="Arial"/>
          <w:b/>
          <w:bCs/>
          <w:sz w:val="32"/>
          <w:szCs w:val="32"/>
        </w:rPr>
      </w:pPr>
    </w:p>
    <w:p w14:paraId="65E31A05" w14:textId="77777777" w:rsidR="001844D0" w:rsidRDefault="001844D0" w:rsidP="001844D0">
      <w:pPr>
        <w:jc w:val="center"/>
        <w:rPr>
          <w:rFonts w:ascii="Arial" w:hAnsi="Arial" w:cs="Arial"/>
          <w:b/>
          <w:bCs/>
          <w:sz w:val="32"/>
          <w:szCs w:val="32"/>
        </w:rPr>
      </w:pPr>
    </w:p>
    <w:p w14:paraId="065EBA67" w14:textId="77777777" w:rsidR="001844D0" w:rsidRDefault="001844D0" w:rsidP="001844D0">
      <w:pPr>
        <w:jc w:val="center"/>
        <w:rPr>
          <w:rFonts w:ascii="Arial" w:hAnsi="Arial" w:cs="Arial"/>
          <w:b/>
          <w:bCs/>
          <w:sz w:val="32"/>
          <w:szCs w:val="32"/>
        </w:rPr>
      </w:pPr>
    </w:p>
    <w:p w14:paraId="55343D3C" w14:textId="77777777" w:rsidR="001844D0" w:rsidRDefault="001844D0" w:rsidP="001844D0">
      <w:pPr>
        <w:jc w:val="center"/>
        <w:rPr>
          <w:rFonts w:ascii="Arial" w:hAnsi="Arial" w:cs="Arial"/>
          <w:b/>
          <w:bCs/>
          <w:sz w:val="32"/>
          <w:szCs w:val="32"/>
        </w:rPr>
      </w:pPr>
    </w:p>
    <w:p w14:paraId="2D5858DE" w14:textId="77777777" w:rsidR="001844D0" w:rsidRDefault="001844D0" w:rsidP="001844D0">
      <w:pPr>
        <w:jc w:val="center"/>
        <w:rPr>
          <w:rFonts w:ascii="Arial" w:hAnsi="Arial" w:cs="Arial"/>
          <w:b/>
          <w:bCs/>
          <w:sz w:val="32"/>
          <w:szCs w:val="32"/>
        </w:rPr>
      </w:pPr>
    </w:p>
    <w:p w14:paraId="4B3FB266" w14:textId="77777777" w:rsidR="001844D0" w:rsidRDefault="001844D0" w:rsidP="001844D0">
      <w:pPr>
        <w:jc w:val="center"/>
        <w:rPr>
          <w:rFonts w:ascii="Arial" w:hAnsi="Arial" w:cs="Arial"/>
          <w:b/>
          <w:bCs/>
          <w:sz w:val="32"/>
          <w:szCs w:val="32"/>
        </w:rPr>
      </w:pPr>
    </w:p>
    <w:p w14:paraId="08D51667" w14:textId="77777777" w:rsidR="001844D0" w:rsidRDefault="001844D0" w:rsidP="001844D0">
      <w:pPr>
        <w:jc w:val="center"/>
        <w:rPr>
          <w:rFonts w:ascii="Arial" w:hAnsi="Arial" w:cs="Arial"/>
          <w:b/>
          <w:bCs/>
          <w:sz w:val="32"/>
          <w:szCs w:val="32"/>
        </w:rPr>
      </w:pPr>
    </w:p>
    <w:p w14:paraId="4F191F2B" w14:textId="0B41140D" w:rsidR="001844D0" w:rsidRDefault="001844D0" w:rsidP="001844D0">
      <w:pPr>
        <w:jc w:val="center"/>
        <w:rPr>
          <w:rFonts w:ascii="Arial" w:hAnsi="Arial" w:cs="Arial"/>
          <w:b/>
          <w:bCs/>
          <w:sz w:val="32"/>
          <w:szCs w:val="32"/>
        </w:rPr>
      </w:pPr>
      <w:r>
        <w:rPr>
          <w:rFonts w:ascii="Arial" w:hAnsi="Arial" w:cs="Arial"/>
          <w:b/>
          <w:bCs/>
          <w:sz w:val="32"/>
          <w:szCs w:val="32"/>
        </w:rPr>
        <w:t>Mars 2026</w:t>
      </w:r>
    </w:p>
    <w:p w14:paraId="6A7451DC" w14:textId="77777777" w:rsidR="001844D0" w:rsidRDefault="001844D0" w:rsidP="001844D0">
      <w:pPr>
        <w:jc w:val="center"/>
        <w:rPr>
          <w:rFonts w:ascii="Arial" w:hAnsi="Arial" w:cs="Arial"/>
          <w:b/>
          <w:bCs/>
          <w:sz w:val="32"/>
          <w:szCs w:val="32"/>
        </w:rPr>
      </w:pPr>
    </w:p>
    <w:p w14:paraId="30200088" w14:textId="77777777" w:rsidR="001844D0" w:rsidRDefault="001844D0" w:rsidP="001844D0">
      <w:pPr>
        <w:jc w:val="center"/>
        <w:rPr>
          <w:rFonts w:ascii="Arial" w:hAnsi="Arial" w:cs="Arial"/>
          <w:b/>
          <w:bCs/>
          <w:sz w:val="32"/>
          <w:szCs w:val="32"/>
        </w:rPr>
      </w:pPr>
    </w:p>
    <w:p w14:paraId="2ABB39D3" w14:textId="6F75C696" w:rsidR="001844D0" w:rsidRDefault="001844D0" w:rsidP="001844D0">
      <w:pPr>
        <w:jc w:val="center"/>
        <w:rPr>
          <w:rFonts w:ascii="Arial" w:hAnsi="Arial" w:cs="Arial"/>
          <w:b/>
          <w:bCs/>
          <w:sz w:val="32"/>
          <w:szCs w:val="32"/>
          <w:u w:val="single"/>
        </w:rPr>
      </w:pPr>
      <w:r w:rsidRPr="001844D0">
        <w:rPr>
          <w:rFonts w:ascii="Arial" w:hAnsi="Arial" w:cs="Arial"/>
          <w:b/>
          <w:bCs/>
          <w:sz w:val="32"/>
          <w:szCs w:val="32"/>
          <w:u w:val="single"/>
        </w:rPr>
        <w:lastRenderedPageBreak/>
        <w:t>TABLE DES MATIÈRES</w:t>
      </w:r>
    </w:p>
    <w:p w14:paraId="6B8E0941" w14:textId="77777777" w:rsidR="001844D0" w:rsidRDefault="001844D0" w:rsidP="001844D0">
      <w:pPr>
        <w:jc w:val="center"/>
        <w:rPr>
          <w:rFonts w:ascii="Arial" w:hAnsi="Arial" w:cs="Arial"/>
          <w:b/>
          <w:bCs/>
          <w:sz w:val="32"/>
          <w:szCs w:val="32"/>
          <w:u w:val="single"/>
        </w:rPr>
      </w:pPr>
    </w:p>
    <w:p w14:paraId="55F7DC81" w14:textId="739448F2" w:rsidR="001844D0" w:rsidRDefault="001844D0" w:rsidP="001844D0">
      <w:pPr>
        <w:pStyle w:val="Paragraphedeliste"/>
        <w:numPr>
          <w:ilvl w:val="0"/>
          <w:numId w:val="1"/>
        </w:numPr>
        <w:rPr>
          <w:rFonts w:ascii="Arial" w:hAnsi="Arial" w:cs="Arial"/>
          <w:sz w:val="24"/>
          <w:szCs w:val="24"/>
        </w:rPr>
      </w:pPr>
      <w:r>
        <w:rPr>
          <w:rFonts w:ascii="Arial" w:hAnsi="Arial" w:cs="Arial"/>
          <w:sz w:val="24"/>
          <w:szCs w:val="24"/>
        </w:rPr>
        <w:t>PRÉAMBULE…………………………………………………………………………3</w:t>
      </w:r>
    </w:p>
    <w:p w14:paraId="2A0A1EB7" w14:textId="6D35D496" w:rsidR="001844D0" w:rsidRDefault="001844D0" w:rsidP="001844D0">
      <w:pPr>
        <w:pStyle w:val="Paragraphedeliste"/>
        <w:numPr>
          <w:ilvl w:val="0"/>
          <w:numId w:val="1"/>
        </w:numPr>
        <w:rPr>
          <w:rFonts w:ascii="Arial" w:hAnsi="Arial" w:cs="Arial"/>
          <w:sz w:val="24"/>
          <w:szCs w:val="24"/>
        </w:rPr>
      </w:pPr>
      <w:r>
        <w:rPr>
          <w:rFonts w:ascii="Arial" w:hAnsi="Arial" w:cs="Arial"/>
          <w:sz w:val="24"/>
          <w:szCs w:val="24"/>
        </w:rPr>
        <w:t>MODIFICATIONS APPORTÉES AU RÈGLEMENT SUR LA GESTION CONTRACTUELLE EN 2025………………………</w:t>
      </w:r>
      <w:proofErr w:type="gramStart"/>
      <w:r>
        <w:rPr>
          <w:rFonts w:ascii="Arial" w:hAnsi="Arial" w:cs="Arial"/>
          <w:sz w:val="24"/>
          <w:szCs w:val="24"/>
        </w:rPr>
        <w:t>…….</w:t>
      </w:r>
      <w:proofErr w:type="gramEnd"/>
      <w:r>
        <w:rPr>
          <w:rFonts w:ascii="Arial" w:hAnsi="Arial" w:cs="Arial"/>
          <w:sz w:val="24"/>
          <w:szCs w:val="24"/>
        </w:rPr>
        <w:t>…………………………3</w:t>
      </w:r>
    </w:p>
    <w:p w14:paraId="05DC9E71" w14:textId="750F0DBE" w:rsidR="001844D0" w:rsidRDefault="001844D0" w:rsidP="001844D0">
      <w:pPr>
        <w:pStyle w:val="Paragraphedeliste"/>
        <w:numPr>
          <w:ilvl w:val="0"/>
          <w:numId w:val="1"/>
        </w:numPr>
        <w:rPr>
          <w:rFonts w:ascii="Arial" w:hAnsi="Arial" w:cs="Arial"/>
          <w:sz w:val="24"/>
          <w:szCs w:val="24"/>
        </w:rPr>
      </w:pPr>
      <w:r>
        <w:rPr>
          <w:rFonts w:ascii="Arial" w:hAnsi="Arial" w:cs="Arial"/>
          <w:sz w:val="24"/>
          <w:szCs w:val="24"/>
        </w:rPr>
        <w:t>MODE DE SOLLICITATION …………………………………………………</w:t>
      </w:r>
      <w:proofErr w:type="gramStart"/>
      <w:r>
        <w:rPr>
          <w:rFonts w:ascii="Arial" w:hAnsi="Arial" w:cs="Arial"/>
          <w:sz w:val="24"/>
          <w:szCs w:val="24"/>
        </w:rPr>
        <w:t>…….</w:t>
      </w:r>
      <w:proofErr w:type="gramEnd"/>
      <w:r>
        <w:rPr>
          <w:rFonts w:ascii="Arial" w:hAnsi="Arial" w:cs="Arial"/>
          <w:sz w:val="24"/>
          <w:szCs w:val="24"/>
        </w:rPr>
        <w:t>.3</w:t>
      </w:r>
    </w:p>
    <w:p w14:paraId="41B92E3F" w14:textId="403250EF" w:rsidR="001844D0" w:rsidRDefault="001844D0" w:rsidP="001844D0">
      <w:pPr>
        <w:pStyle w:val="Paragraphedeliste"/>
        <w:numPr>
          <w:ilvl w:val="0"/>
          <w:numId w:val="1"/>
        </w:numPr>
        <w:rPr>
          <w:rFonts w:ascii="Arial" w:hAnsi="Arial" w:cs="Arial"/>
          <w:sz w:val="24"/>
          <w:szCs w:val="24"/>
        </w:rPr>
      </w:pPr>
      <w:r>
        <w:rPr>
          <w:rFonts w:ascii="Arial" w:hAnsi="Arial" w:cs="Arial"/>
          <w:sz w:val="24"/>
          <w:szCs w:val="24"/>
        </w:rPr>
        <w:t>MESURES ……………………………………………………………………………4</w:t>
      </w:r>
    </w:p>
    <w:p w14:paraId="57A0D99B" w14:textId="7D2FFD26" w:rsidR="001844D0" w:rsidRDefault="001844D0" w:rsidP="001844D0">
      <w:pPr>
        <w:pStyle w:val="Paragraphedeliste"/>
        <w:numPr>
          <w:ilvl w:val="0"/>
          <w:numId w:val="1"/>
        </w:numPr>
        <w:tabs>
          <w:tab w:val="left" w:pos="8931"/>
        </w:tabs>
        <w:rPr>
          <w:rFonts w:ascii="Arial" w:hAnsi="Arial" w:cs="Arial"/>
          <w:sz w:val="24"/>
          <w:szCs w:val="24"/>
        </w:rPr>
      </w:pPr>
      <w:r>
        <w:rPr>
          <w:rFonts w:ascii="Arial" w:hAnsi="Arial" w:cs="Arial"/>
          <w:sz w:val="24"/>
          <w:szCs w:val="24"/>
        </w:rPr>
        <w:t>PLAINT</w:t>
      </w:r>
      <w:r w:rsidR="00DD6209">
        <w:rPr>
          <w:rFonts w:ascii="Arial" w:hAnsi="Arial" w:cs="Arial"/>
          <w:sz w:val="24"/>
          <w:szCs w:val="24"/>
        </w:rPr>
        <w:t>E</w:t>
      </w:r>
      <w:r>
        <w:rPr>
          <w:rFonts w:ascii="Arial" w:hAnsi="Arial" w:cs="Arial"/>
          <w:sz w:val="24"/>
          <w:szCs w:val="24"/>
        </w:rPr>
        <w:t xml:space="preserve"> ……………………………………………………………………………</w:t>
      </w:r>
      <w:r w:rsidR="00DD6209">
        <w:rPr>
          <w:rFonts w:ascii="Arial" w:hAnsi="Arial" w:cs="Arial"/>
          <w:sz w:val="24"/>
          <w:szCs w:val="24"/>
        </w:rPr>
        <w:t>..</w:t>
      </w:r>
      <w:r>
        <w:rPr>
          <w:rFonts w:ascii="Arial" w:hAnsi="Arial" w:cs="Arial"/>
          <w:sz w:val="24"/>
          <w:szCs w:val="24"/>
        </w:rPr>
        <w:t>.4</w:t>
      </w:r>
    </w:p>
    <w:p w14:paraId="01B05B20" w14:textId="04CB84D0" w:rsidR="001844D0" w:rsidRDefault="001844D0" w:rsidP="001844D0">
      <w:pPr>
        <w:pStyle w:val="Paragraphedeliste"/>
        <w:numPr>
          <w:ilvl w:val="0"/>
          <w:numId w:val="1"/>
        </w:numPr>
        <w:rPr>
          <w:rFonts w:ascii="Arial" w:hAnsi="Arial" w:cs="Arial"/>
          <w:sz w:val="24"/>
          <w:szCs w:val="24"/>
        </w:rPr>
      </w:pPr>
      <w:r>
        <w:rPr>
          <w:rFonts w:ascii="Arial" w:hAnsi="Arial" w:cs="Arial"/>
          <w:sz w:val="24"/>
          <w:szCs w:val="24"/>
        </w:rPr>
        <w:t>SANCTION …………………………………………………………………</w:t>
      </w:r>
      <w:proofErr w:type="gramStart"/>
      <w:r>
        <w:rPr>
          <w:rFonts w:ascii="Arial" w:hAnsi="Arial" w:cs="Arial"/>
          <w:sz w:val="24"/>
          <w:szCs w:val="24"/>
        </w:rPr>
        <w:t>……..….</w:t>
      </w:r>
      <w:proofErr w:type="gramEnd"/>
      <w:r>
        <w:rPr>
          <w:rFonts w:ascii="Arial" w:hAnsi="Arial" w:cs="Arial"/>
          <w:sz w:val="24"/>
          <w:szCs w:val="24"/>
        </w:rPr>
        <w:t>4</w:t>
      </w:r>
    </w:p>
    <w:p w14:paraId="6DBC54BC" w14:textId="0EB2DFEE" w:rsidR="001844D0" w:rsidRDefault="001844D0" w:rsidP="001844D0">
      <w:pPr>
        <w:pStyle w:val="Paragraphedeliste"/>
        <w:numPr>
          <w:ilvl w:val="0"/>
          <w:numId w:val="1"/>
        </w:numPr>
        <w:rPr>
          <w:rFonts w:ascii="Arial" w:hAnsi="Arial" w:cs="Arial"/>
          <w:sz w:val="24"/>
          <w:szCs w:val="24"/>
        </w:rPr>
      </w:pPr>
      <w:r>
        <w:rPr>
          <w:rFonts w:ascii="Arial" w:hAnsi="Arial" w:cs="Arial"/>
          <w:sz w:val="24"/>
          <w:szCs w:val="24"/>
        </w:rPr>
        <w:t>CONCLUSION …………………………………………………………………</w:t>
      </w:r>
      <w:proofErr w:type="gramStart"/>
      <w:r>
        <w:rPr>
          <w:rFonts w:ascii="Arial" w:hAnsi="Arial" w:cs="Arial"/>
          <w:sz w:val="24"/>
          <w:szCs w:val="24"/>
        </w:rPr>
        <w:t>…….</w:t>
      </w:r>
      <w:proofErr w:type="gramEnd"/>
      <w:r>
        <w:rPr>
          <w:rFonts w:ascii="Arial" w:hAnsi="Arial" w:cs="Arial"/>
          <w:sz w:val="24"/>
          <w:szCs w:val="24"/>
        </w:rPr>
        <w:t>4</w:t>
      </w:r>
    </w:p>
    <w:p w14:paraId="739B2C94" w14:textId="77777777" w:rsidR="001844D0" w:rsidRDefault="001844D0" w:rsidP="001844D0">
      <w:pPr>
        <w:rPr>
          <w:rFonts w:ascii="Arial" w:hAnsi="Arial" w:cs="Arial"/>
          <w:sz w:val="24"/>
          <w:szCs w:val="24"/>
        </w:rPr>
      </w:pPr>
    </w:p>
    <w:p w14:paraId="53F68061" w14:textId="77777777" w:rsidR="001844D0" w:rsidRDefault="001844D0" w:rsidP="001844D0">
      <w:pPr>
        <w:rPr>
          <w:rFonts w:ascii="Arial" w:hAnsi="Arial" w:cs="Arial"/>
          <w:sz w:val="24"/>
          <w:szCs w:val="24"/>
        </w:rPr>
      </w:pPr>
    </w:p>
    <w:p w14:paraId="6CF8F0DC" w14:textId="77777777" w:rsidR="001844D0" w:rsidRDefault="001844D0" w:rsidP="001844D0">
      <w:pPr>
        <w:rPr>
          <w:rFonts w:ascii="Arial" w:hAnsi="Arial" w:cs="Arial"/>
          <w:sz w:val="24"/>
          <w:szCs w:val="24"/>
        </w:rPr>
      </w:pPr>
    </w:p>
    <w:p w14:paraId="32C6AD00" w14:textId="77777777" w:rsidR="001844D0" w:rsidRDefault="001844D0" w:rsidP="001844D0">
      <w:pPr>
        <w:rPr>
          <w:rFonts w:ascii="Arial" w:hAnsi="Arial" w:cs="Arial"/>
          <w:sz w:val="24"/>
          <w:szCs w:val="24"/>
        </w:rPr>
      </w:pPr>
    </w:p>
    <w:p w14:paraId="7593D5F9" w14:textId="77777777" w:rsidR="001844D0" w:rsidRDefault="001844D0" w:rsidP="001844D0">
      <w:pPr>
        <w:rPr>
          <w:rFonts w:ascii="Arial" w:hAnsi="Arial" w:cs="Arial"/>
          <w:sz w:val="24"/>
          <w:szCs w:val="24"/>
        </w:rPr>
      </w:pPr>
    </w:p>
    <w:p w14:paraId="538F5E5A" w14:textId="77777777" w:rsidR="001844D0" w:rsidRDefault="001844D0" w:rsidP="001844D0">
      <w:pPr>
        <w:rPr>
          <w:rFonts w:ascii="Arial" w:hAnsi="Arial" w:cs="Arial"/>
          <w:sz w:val="24"/>
          <w:szCs w:val="24"/>
        </w:rPr>
      </w:pPr>
    </w:p>
    <w:p w14:paraId="7389F8A3" w14:textId="77777777" w:rsidR="001844D0" w:rsidRDefault="001844D0" w:rsidP="001844D0">
      <w:pPr>
        <w:rPr>
          <w:rFonts w:ascii="Arial" w:hAnsi="Arial" w:cs="Arial"/>
          <w:sz w:val="24"/>
          <w:szCs w:val="24"/>
        </w:rPr>
      </w:pPr>
    </w:p>
    <w:p w14:paraId="1D97B65A" w14:textId="77777777" w:rsidR="001844D0" w:rsidRDefault="001844D0" w:rsidP="001844D0">
      <w:pPr>
        <w:rPr>
          <w:rFonts w:ascii="Arial" w:hAnsi="Arial" w:cs="Arial"/>
          <w:sz w:val="24"/>
          <w:szCs w:val="24"/>
        </w:rPr>
      </w:pPr>
    </w:p>
    <w:p w14:paraId="6154BB93" w14:textId="77777777" w:rsidR="001844D0" w:rsidRDefault="001844D0" w:rsidP="001844D0">
      <w:pPr>
        <w:rPr>
          <w:rFonts w:ascii="Arial" w:hAnsi="Arial" w:cs="Arial"/>
          <w:sz w:val="24"/>
          <w:szCs w:val="24"/>
        </w:rPr>
      </w:pPr>
    </w:p>
    <w:p w14:paraId="22D78B09" w14:textId="77777777" w:rsidR="001844D0" w:rsidRDefault="001844D0" w:rsidP="001844D0">
      <w:pPr>
        <w:rPr>
          <w:rFonts w:ascii="Arial" w:hAnsi="Arial" w:cs="Arial"/>
          <w:sz w:val="24"/>
          <w:szCs w:val="24"/>
        </w:rPr>
      </w:pPr>
    </w:p>
    <w:p w14:paraId="37068EA3" w14:textId="77777777" w:rsidR="001844D0" w:rsidRDefault="001844D0" w:rsidP="001844D0">
      <w:pPr>
        <w:rPr>
          <w:rFonts w:ascii="Arial" w:hAnsi="Arial" w:cs="Arial"/>
          <w:sz w:val="24"/>
          <w:szCs w:val="24"/>
        </w:rPr>
      </w:pPr>
    </w:p>
    <w:p w14:paraId="7C02A08F" w14:textId="77777777" w:rsidR="001844D0" w:rsidRDefault="001844D0" w:rsidP="001844D0">
      <w:pPr>
        <w:rPr>
          <w:rFonts w:ascii="Arial" w:hAnsi="Arial" w:cs="Arial"/>
          <w:sz w:val="24"/>
          <w:szCs w:val="24"/>
        </w:rPr>
      </w:pPr>
    </w:p>
    <w:p w14:paraId="3EED78F3" w14:textId="77777777" w:rsidR="001844D0" w:rsidRDefault="001844D0" w:rsidP="001844D0">
      <w:pPr>
        <w:rPr>
          <w:rFonts w:ascii="Arial" w:hAnsi="Arial" w:cs="Arial"/>
          <w:sz w:val="24"/>
          <w:szCs w:val="24"/>
        </w:rPr>
      </w:pPr>
    </w:p>
    <w:p w14:paraId="0E95D703" w14:textId="77777777" w:rsidR="001844D0" w:rsidRDefault="001844D0" w:rsidP="001844D0">
      <w:pPr>
        <w:rPr>
          <w:rFonts w:ascii="Arial" w:hAnsi="Arial" w:cs="Arial"/>
          <w:sz w:val="24"/>
          <w:szCs w:val="24"/>
        </w:rPr>
      </w:pPr>
    </w:p>
    <w:p w14:paraId="610D70E7" w14:textId="77777777" w:rsidR="001844D0" w:rsidRDefault="001844D0" w:rsidP="001844D0">
      <w:pPr>
        <w:rPr>
          <w:rFonts w:ascii="Arial" w:hAnsi="Arial" w:cs="Arial"/>
          <w:sz w:val="24"/>
          <w:szCs w:val="24"/>
        </w:rPr>
      </w:pPr>
    </w:p>
    <w:p w14:paraId="3A4001C1" w14:textId="77777777" w:rsidR="001844D0" w:rsidRDefault="001844D0" w:rsidP="001844D0">
      <w:pPr>
        <w:rPr>
          <w:rFonts w:ascii="Arial" w:hAnsi="Arial" w:cs="Arial"/>
          <w:sz w:val="24"/>
          <w:szCs w:val="24"/>
        </w:rPr>
      </w:pPr>
    </w:p>
    <w:p w14:paraId="6A3A898F" w14:textId="77777777" w:rsidR="001844D0" w:rsidRDefault="001844D0" w:rsidP="001844D0">
      <w:pPr>
        <w:rPr>
          <w:rFonts w:ascii="Arial" w:hAnsi="Arial" w:cs="Arial"/>
          <w:sz w:val="24"/>
          <w:szCs w:val="24"/>
        </w:rPr>
      </w:pPr>
    </w:p>
    <w:p w14:paraId="65A1F7C4" w14:textId="77777777" w:rsidR="001844D0" w:rsidRDefault="001844D0" w:rsidP="001844D0">
      <w:pPr>
        <w:rPr>
          <w:rFonts w:ascii="Arial" w:hAnsi="Arial" w:cs="Arial"/>
          <w:sz w:val="24"/>
          <w:szCs w:val="24"/>
        </w:rPr>
      </w:pPr>
    </w:p>
    <w:p w14:paraId="683B6654" w14:textId="77777777" w:rsidR="001844D0" w:rsidRDefault="001844D0" w:rsidP="001844D0">
      <w:pPr>
        <w:rPr>
          <w:rFonts w:ascii="Arial" w:hAnsi="Arial" w:cs="Arial"/>
          <w:sz w:val="24"/>
          <w:szCs w:val="24"/>
        </w:rPr>
      </w:pPr>
    </w:p>
    <w:p w14:paraId="066D4946" w14:textId="77777777" w:rsidR="001844D0" w:rsidRDefault="001844D0" w:rsidP="001844D0">
      <w:pPr>
        <w:rPr>
          <w:rFonts w:ascii="Arial" w:hAnsi="Arial" w:cs="Arial"/>
          <w:sz w:val="24"/>
          <w:szCs w:val="24"/>
        </w:rPr>
      </w:pPr>
    </w:p>
    <w:p w14:paraId="183B16C1" w14:textId="2A8E02E2" w:rsidR="001844D0" w:rsidRPr="005D1A9A" w:rsidRDefault="001844D0" w:rsidP="005D1A9A">
      <w:pPr>
        <w:pStyle w:val="Paragraphedeliste"/>
        <w:numPr>
          <w:ilvl w:val="0"/>
          <w:numId w:val="2"/>
        </w:numPr>
        <w:ind w:left="0" w:firstLine="0"/>
        <w:rPr>
          <w:rFonts w:ascii="Arial" w:hAnsi="Arial" w:cs="Arial"/>
          <w:b/>
          <w:bCs/>
          <w:sz w:val="24"/>
          <w:szCs w:val="24"/>
        </w:rPr>
      </w:pPr>
      <w:r w:rsidRPr="005D1A9A">
        <w:rPr>
          <w:rFonts w:ascii="Arial" w:hAnsi="Arial" w:cs="Arial"/>
          <w:b/>
          <w:bCs/>
          <w:sz w:val="24"/>
          <w:szCs w:val="24"/>
        </w:rPr>
        <w:t>PRÉAMBULE</w:t>
      </w:r>
    </w:p>
    <w:p w14:paraId="1D839C54" w14:textId="770A4146" w:rsidR="001844D0" w:rsidRDefault="001844D0" w:rsidP="005D1A9A">
      <w:pPr>
        <w:jc w:val="both"/>
        <w:rPr>
          <w:rFonts w:ascii="Arial" w:hAnsi="Arial" w:cs="Arial"/>
          <w:sz w:val="24"/>
          <w:szCs w:val="24"/>
        </w:rPr>
      </w:pPr>
      <w:r>
        <w:rPr>
          <w:rFonts w:ascii="Arial" w:hAnsi="Arial" w:cs="Arial"/>
          <w:sz w:val="24"/>
          <w:szCs w:val="24"/>
        </w:rPr>
        <w:t xml:space="preserve">Conformément à l’article 573.3.1.2 de la </w:t>
      </w:r>
      <w:r w:rsidRPr="00DD6209">
        <w:rPr>
          <w:rFonts w:ascii="Arial" w:hAnsi="Arial" w:cs="Arial"/>
          <w:i/>
          <w:iCs/>
          <w:sz w:val="24"/>
          <w:szCs w:val="24"/>
        </w:rPr>
        <w:t>Loi sur les cités et villes</w:t>
      </w:r>
      <w:r>
        <w:rPr>
          <w:rFonts w:ascii="Arial" w:hAnsi="Arial" w:cs="Arial"/>
          <w:sz w:val="24"/>
          <w:szCs w:val="24"/>
        </w:rPr>
        <w:t>, le présent document constitue le rapport sur l’application du règlement de gestion contractuelle de la Ville de Chandler pour l’année 2025.</w:t>
      </w:r>
    </w:p>
    <w:p w14:paraId="731DFA72" w14:textId="0AD0BD6E" w:rsidR="001844D0" w:rsidRDefault="001844D0" w:rsidP="005D1A9A">
      <w:pPr>
        <w:jc w:val="both"/>
        <w:rPr>
          <w:rFonts w:ascii="Arial" w:hAnsi="Arial" w:cs="Arial"/>
          <w:sz w:val="24"/>
          <w:szCs w:val="24"/>
        </w:rPr>
      </w:pPr>
      <w:r>
        <w:rPr>
          <w:rFonts w:ascii="Arial" w:hAnsi="Arial" w:cs="Arial"/>
          <w:sz w:val="24"/>
          <w:szCs w:val="24"/>
        </w:rPr>
        <w:t xml:space="preserve">L’objectif du présent rapport est de renforcer la transparence du processus de gestion contractuelle instauré à la Ville de Chandler </w:t>
      </w:r>
      <w:r w:rsidR="005D1A9A">
        <w:rPr>
          <w:rFonts w:ascii="Arial" w:hAnsi="Arial" w:cs="Arial"/>
          <w:sz w:val="24"/>
          <w:szCs w:val="24"/>
        </w:rPr>
        <w:t>et de renseigner les citoyens sur l’application des mesures prévues à cet effet.</w:t>
      </w:r>
    </w:p>
    <w:p w14:paraId="4D753299" w14:textId="0910ACA1" w:rsidR="005D1A9A" w:rsidRDefault="005D1A9A" w:rsidP="005D1A9A">
      <w:pPr>
        <w:pStyle w:val="Paragraphedeliste"/>
        <w:numPr>
          <w:ilvl w:val="0"/>
          <w:numId w:val="2"/>
        </w:numPr>
        <w:ind w:hanging="720"/>
        <w:jc w:val="both"/>
        <w:rPr>
          <w:rFonts w:ascii="Arial" w:hAnsi="Arial" w:cs="Arial"/>
          <w:b/>
          <w:bCs/>
          <w:sz w:val="24"/>
          <w:szCs w:val="24"/>
        </w:rPr>
      </w:pPr>
      <w:r w:rsidRPr="005D1A9A">
        <w:rPr>
          <w:rFonts w:ascii="Arial" w:hAnsi="Arial" w:cs="Arial"/>
          <w:b/>
          <w:bCs/>
          <w:sz w:val="24"/>
          <w:szCs w:val="24"/>
        </w:rPr>
        <w:t>MODIFICATIONS APORTÉES AU RÈGLEMENT SUR LA GESTION CONTRACTUELLE</w:t>
      </w:r>
      <w:r>
        <w:rPr>
          <w:rFonts w:ascii="Arial" w:hAnsi="Arial" w:cs="Arial"/>
          <w:b/>
          <w:bCs/>
          <w:sz w:val="24"/>
          <w:szCs w:val="24"/>
        </w:rPr>
        <w:t xml:space="preserve"> </w:t>
      </w:r>
      <w:r w:rsidRPr="005D1A9A">
        <w:rPr>
          <w:rFonts w:ascii="Arial" w:hAnsi="Arial" w:cs="Arial"/>
          <w:b/>
          <w:bCs/>
          <w:sz w:val="24"/>
          <w:szCs w:val="24"/>
        </w:rPr>
        <w:t>EN 2025</w:t>
      </w:r>
    </w:p>
    <w:p w14:paraId="534F2892" w14:textId="71C9A15A" w:rsidR="00E00558" w:rsidRDefault="005D1A9A" w:rsidP="005D1A9A">
      <w:pPr>
        <w:jc w:val="both"/>
        <w:rPr>
          <w:rFonts w:ascii="Arial" w:hAnsi="Arial" w:cs="Arial"/>
          <w:sz w:val="24"/>
          <w:szCs w:val="24"/>
        </w:rPr>
      </w:pPr>
      <w:r w:rsidRPr="005D1A9A">
        <w:rPr>
          <w:rFonts w:ascii="Arial" w:hAnsi="Arial" w:cs="Arial"/>
          <w:sz w:val="24"/>
          <w:szCs w:val="24"/>
        </w:rPr>
        <w:t>Le 3 mars 2025, le Conseil municipal a adopté le Règlement numéro V-266-2025</w:t>
      </w:r>
      <w:r>
        <w:rPr>
          <w:rFonts w:ascii="Arial" w:hAnsi="Arial" w:cs="Arial"/>
          <w:sz w:val="24"/>
          <w:szCs w:val="24"/>
        </w:rPr>
        <w:t xml:space="preserve"> </w:t>
      </w:r>
      <w:r w:rsidR="00E00558">
        <w:rPr>
          <w:rFonts w:ascii="Arial" w:hAnsi="Arial" w:cs="Arial"/>
          <w:sz w:val="24"/>
          <w:szCs w:val="24"/>
        </w:rPr>
        <w:t xml:space="preserve">concernant la gestion contractuelle et remplaçant le règlement numéro V-241-2021, lequel est entré en vigueur </w:t>
      </w:r>
      <w:r w:rsidR="00E00558" w:rsidRPr="008D3839">
        <w:rPr>
          <w:rFonts w:ascii="Arial" w:hAnsi="Arial" w:cs="Arial"/>
          <w:sz w:val="24"/>
          <w:szCs w:val="24"/>
        </w:rPr>
        <w:t xml:space="preserve">le </w:t>
      </w:r>
      <w:r w:rsidR="002A6806" w:rsidRPr="008D3839">
        <w:rPr>
          <w:rFonts w:ascii="Arial" w:hAnsi="Arial" w:cs="Arial"/>
          <w:sz w:val="24"/>
          <w:szCs w:val="24"/>
        </w:rPr>
        <w:t>7 juin 2021.</w:t>
      </w:r>
    </w:p>
    <w:p w14:paraId="51CB6FC0" w14:textId="3290D1BB" w:rsidR="00E00558" w:rsidRDefault="00A5428F" w:rsidP="005D1A9A">
      <w:pPr>
        <w:jc w:val="both"/>
        <w:rPr>
          <w:rFonts w:ascii="Arial" w:hAnsi="Arial" w:cs="Arial"/>
          <w:sz w:val="24"/>
          <w:szCs w:val="24"/>
        </w:rPr>
      </w:pPr>
      <w:r>
        <w:rPr>
          <w:rFonts w:ascii="Arial" w:hAnsi="Arial" w:cs="Arial"/>
          <w:sz w:val="24"/>
          <w:szCs w:val="24"/>
        </w:rPr>
        <w:t>Plus précisément, les articles 11.1 à 11.5 concernant les règles de passation des contrats ont été modifiés afin que les contrats d’approvisionnement, de construction, de services, et de services professionnels dont la valeur n’excède pas le seuil décrété de la dépense d’un contrat qui ne peut être adjugé qu’après une demande de soumission publique peu</w:t>
      </w:r>
      <w:r w:rsidR="001D249B">
        <w:rPr>
          <w:rFonts w:ascii="Arial" w:hAnsi="Arial" w:cs="Arial"/>
          <w:sz w:val="24"/>
          <w:szCs w:val="24"/>
        </w:rPr>
        <w:t>vent</w:t>
      </w:r>
      <w:r>
        <w:rPr>
          <w:rFonts w:ascii="Arial" w:hAnsi="Arial" w:cs="Arial"/>
          <w:sz w:val="24"/>
          <w:szCs w:val="24"/>
        </w:rPr>
        <w:t xml:space="preserve"> être </w:t>
      </w:r>
      <w:r w:rsidR="001D249B">
        <w:rPr>
          <w:rFonts w:ascii="Arial" w:hAnsi="Arial" w:cs="Arial"/>
          <w:sz w:val="24"/>
          <w:szCs w:val="24"/>
        </w:rPr>
        <w:t>conclus de gré à gré.</w:t>
      </w:r>
      <w:r>
        <w:rPr>
          <w:rFonts w:ascii="Arial" w:hAnsi="Arial" w:cs="Arial"/>
          <w:sz w:val="24"/>
          <w:szCs w:val="24"/>
        </w:rPr>
        <w:t xml:space="preserve">  </w:t>
      </w:r>
    </w:p>
    <w:p w14:paraId="049A2C4C" w14:textId="6B33BA53" w:rsidR="001D249B" w:rsidRDefault="001D249B" w:rsidP="005D1A9A">
      <w:pPr>
        <w:jc w:val="both"/>
        <w:rPr>
          <w:rFonts w:ascii="Arial" w:hAnsi="Arial" w:cs="Arial"/>
          <w:sz w:val="24"/>
          <w:szCs w:val="24"/>
        </w:rPr>
      </w:pPr>
      <w:r>
        <w:rPr>
          <w:rFonts w:ascii="Arial" w:hAnsi="Arial" w:cs="Arial"/>
          <w:sz w:val="24"/>
          <w:szCs w:val="24"/>
        </w:rPr>
        <w:t xml:space="preserve">Ce règlement </w:t>
      </w:r>
      <w:r w:rsidR="00C87358">
        <w:rPr>
          <w:rFonts w:ascii="Arial" w:hAnsi="Arial" w:cs="Arial"/>
          <w:sz w:val="24"/>
          <w:szCs w:val="24"/>
        </w:rPr>
        <w:t>répond aux critères prévus à l’article 573.3.1.2 de la Loi sur les cités et villes en ce qui concerne l’adoption d’un règlement sur la gestion contractuelle.</w:t>
      </w:r>
    </w:p>
    <w:p w14:paraId="59FBA4D8" w14:textId="0DF58A59" w:rsidR="00C87358" w:rsidRDefault="00C87358" w:rsidP="005D1A9A">
      <w:pPr>
        <w:jc w:val="both"/>
        <w:rPr>
          <w:rFonts w:ascii="Arial" w:hAnsi="Arial" w:cs="Arial"/>
          <w:sz w:val="24"/>
          <w:szCs w:val="24"/>
        </w:rPr>
      </w:pPr>
      <w:r>
        <w:rPr>
          <w:rFonts w:ascii="Arial" w:hAnsi="Arial" w:cs="Arial"/>
          <w:sz w:val="24"/>
          <w:szCs w:val="24"/>
        </w:rPr>
        <w:t xml:space="preserve">Pour de plus amples détails, nous vous invitons à consulter le Règlement concernant la gestion contractuelle sur le site internet de la Ville : </w:t>
      </w:r>
      <w:hyperlink r:id="rId8" w:history="1">
        <w:r w:rsidRPr="00EF42E6">
          <w:rPr>
            <w:rStyle w:val="Lienhypertexte"/>
            <w:rFonts w:ascii="Arial" w:hAnsi="Arial" w:cs="Arial"/>
            <w:sz w:val="24"/>
            <w:szCs w:val="24"/>
          </w:rPr>
          <w:t>https://www.villedechandler.com/wp-content/uploads/2025/04/Reglement-V-266-2025-Politique-gestion-contractuelle-Chandler-modifie-final.pdf</w:t>
        </w:r>
      </w:hyperlink>
    </w:p>
    <w:p w14:paraId="53E4FD74" w14:textId="65A18F00" w:rsidR="00C87358" w:rsidRDefault="00C87358" w:rsidP="00C87358">
      <w:pPr>
        <w:pStyle w:val="Paragraphedeliste"/>
        <w:numPr>
          <w:ilvl w:val="0"/>
          <w:numId w:val="2"/>
        </w:numPr>
        <w:jc w:val="both"/>
        <w:rPr>
          <w:rFonts w:ascii="Arial" w:hAnsi="Arial" w:cs="Arial"/>
          <w:b/>
          <w:bCs/>
          <w:sz w:val="24"/>
          <w:szCs w:val="24"/>
        </w:rPr>
      </w:pPr>
      <w:r>
        <w:rPr>
          <w:rFonts w:ascii="Arial" w:hAnsi="Arial" w:cs="Arial"/>
          <w:b/>
          <w:bCs/>
          <w:sz w:val="24"/>
          <w:szCs w:val="24"/>
        </w:rPr>
        <w:t>MODE DE SOLLICITATION</w:t>
      </w:r>
    </w:p>
    <w:p w14:paraId="1B743A87" w14:textId="577D1736" w:rsidR="00C87358" w:rsidRDefault="00C87358" w:rsidP="00C87358">
      <w:pPr>
        <w:jc w:val="both"/>
        <w:rPr>
          <w:rFonts w:ascii="Arial" w:hAnsi="Arial" w:cs="Arial"/>
          <w:sz w:val="24"/>
          <w:szCs w:val="24"/>
        </w:rPr>
      </w:pPr>
      <w:r>
        <w:rPr>
          <w:rFonts w:ascii="Arial" w:hAnsi="Arial" w:cs="Arial"/>
          <w:sz w:val="24"/>
          <w:szCs w:val="24"/>
        </w:rPr>
        <w:t>La Ville peut conclure des contrats selon trois (3) principaux modes de sollicitation possibles :</w:t>
      </w:r>
    </w:p>
    <w:p w14:paraId="751B1AB0" w14:textId="3285CB29" w:rsidR="00C87358" w:rsidRDefault="00C87358" w:rsidP="00C87358">
      <w:pPr>
        <w:pStyle w:val="Paragraphedeliste"/>
        <w:numPr>
          <w:ilvl w:val="0"/>
          <w:numId w:val="3"/>
        </w:numPr>
        <w:jc w:val="both"/>
        <w:rPr>
          <w:rFonts w:ascii="Arial" w:hAnsi="Arial" w:cs="Arial"/>
          <w:sz w:val="24"/>
          <w:szCs w:val="24"/>
        </w:rPr>
      </w:pPr>
      <w:r>
        <w:rPr>
          <w:rFonts w:ascii="Arial" w:hAnsi="Arial" w:cs="Arial"/>
          <w:sz w:val="24"/>
          <w:szCs w:val="24"/>
        </w:rPr>
        <w:t>Le contrat conclu de gré à gré</w:t>
      </w:r>
    </w:p>
    <w:p w14:paraId="28C2F193" w14:textId="3B86DBC4" w:rsidR="00C87358" w:rsidRDefault="00C87358" w:rsidP="00C87358">
      <w:pPr>
        <w:pStyle w:val="Paragraphedeliste"/>
        <w:numPr>
          <w:ilvl w:val="0"/>
          <w:numId w:val="3"/>
        </w:numPr>
        <w:jc w:val="both"/>
        <w:rPr>
          <w:rFonts w:ascii="Arial" w:hAnsi="Arial" w:cs="Arial"/>
          <w:sz w:val="24"/>
          <w:szCs w:val="24"/>
        </w:rPr>
      </w:pPr>
      <w:r>
        <w:rPr>
          <w:rFonts w:ascii="Arial" w:hAnsi="Arial" w:cs="Arial"/>
          <w:sz w:val="24"/>
          <w:szCs w:val="24"/>
        </w:rPr>
        <w:t>Le contrat conclu à la suite d’un appel d’offres sur invitation</w:t>
      </w:r>
    </w:p>
    <w:p w14:paraId="4234AC6D" w14:textId="79B0FF26" w:rsidR="00C87358" w:rsidRDefault="00C87358" w:rsidP="00C87358">
      <w:pPr>
        <w:pStyle w:val="Paragraphedeliste"/>
        <w:numPr>
          <w:ilvl w:val="0"/>
          <w:numId w:val="3"/>
        </w:numPr>
        <w:jc w:val="both"/>
        <w:rPr>
          <w:rFonts w:ascii="Arial" w:hAnsi="Arial" w:cs="Arial"/>
          <w:sz w:val="24"/>
          <w:szCs w:val="24"/>
        </w:rPr>
      </w:pPr>
      <w:r>
        <w:rPr>
          <w:rFonts w:ascii="Arial" w:hAnsi="Arial" w:cs="Arial"/>
          <w:sz w:val="24"/>
          <w:szCs w:val="24"/>
        </w:rPr>
        <w:t>Le contrat conclu à la suite d’un appel d’offres public (SÉAO)</w:t>
      </w:r>
    </w:p>
    <w:p w14:paraId="71158C86" w14:textId="6FC286F3" w:rsidR="00C87358" w:rsidRDefault="00C87358" w:rsidP="00C87358">
      <w:pPr>
        <w:jc w:val="both"/>
        <w:rPr>
          <w:rFonts w:ascii="Arial" w:hAnsi="Arial" w:cs="Arial"/>
          <w:sz w:val="24"/>
          <w:szCs w:val="24"/>
        </w:rPr>
      </w:pPr>
      <w:r>
        <w:rPr>
          <w:rFonts w:ascii="Arial" w:hAnsi="Arial" w:cs="Arial"/>
          <w:sz w:val="24"/>
          <w:szCs w:val="24"/>
        </w:rPr>
        <w:t xml:space="preserve">Les dispositions prévues aux articles 573 et suivants de la </w:t>
      </w:r>
      <w:r w:rsidRPr="00DD6209">
        <w:rPr>
          <w:rFonts w:ascii="Arial" w:hAnsi="Arial" w:cs="Arial"/>
          <w:i/>
          <w:iCs/>
          <w:sz w:val="24"/>
          <w:szCs w:val="24"/>
        </w:rPr>
        <w:t>Loi sur les cités et villes</w:t>
      </w:r>
      <w:r>
        <w:rPr>
          <w:rFonts w:ascii="Arial" w:hAnsi="Arial" w:cs="Arial"/>
          <w:sz w:val="24"/>
          <w:szCs w:val="24"/>
        </w:rPr>
        <w:t xml:space="preserve"> sont respectées.</w:t>
      </w:r>
    </w:p>
    <w:p w14:paraId="25CBD736" w14:textId="77777777" w:rsidR="00C87358" w:rsidRDefault="00C87358" w:rsidP="00C87358">
      <w:pPr>
        <w:jc w:val="both"/>
        <w:rPr>
          <w:rFonts w:ascii="Arial" w:hAnsi="Arial" w:cs="Arial"/>
          <w:sz w:val="24"/>
          <w:szCs w:val="24"/>
        </w:rPr>
      </w:pPr>
    </w:p>
    <w:p w14:paraId="1FC2A7A3" w14:textId="4140055F" w:rsidR="00C87358" w:rsidRDefault="00C87358" w:rsidP="00C87358">
      <w:pPr>
        <w:jc w:val="both"/>
        <w:rPr>
          <w:rFonts w:ascii="Arial" w:hAnsi="Arial" w:cs="Arial"/>
          <w:sz w:val="24"/>
          <w:szCs w:val="24"/>
        </w:rPr>
      </w:pPr>
      <w:r>
        <w:rPr>
          <w:rFonts w:ascii="Arial" w:hAnsi="Arial" w:cs="Arial"/>
          <w:sz w:val="24"/>
          <w:szCs w:val="24"/>
        </w:rPr>
        <w:t>L’estimation de la dépense du contrat à octroyer sert à déterminer le mode de sollicitation</w:t>
      </w:r>
      <w:r w:rsidR="00A22B5D">
        <w:rPr>
          <w:rFonts w:ascii="Arial" w:hAnsi="Arial" w:cs="Arial"/>
          <w:sz w:val="24"/>
          <w:szCs w:val="24"/>
        </w:rPr>
        <w:t xml:space="preserve"> à utiliser. Lors d’une demande de prix de gré à gré, les justifications visant la transparence et la saine gestion des fonds publics doivent être présentées et des mesures doivent avoir été prévues afin de favoriser la mise en concurrence et la rotation parmi les fournisseurs potentiels. Toutefois, la rotation ne doit pas se faire au détriment de la saine gestion des dépenses publiques.</w:t>
      </w:r>
    </w:p>
    <w:p w14:paraId="31A4EE55" w14:textId="2C10A329" w:rsidR="00A22B5D" w:rsidRDefault="00A22B5D" w:rsidP="00C87358">
      <w:pPr>
        <w:jc w:val="both"/>
        <w:rPr>
          <w:rFonts w:ascii="Arial" w:hAnsi="Arial" w:cs="Arial"/>
          <w:sz w:val="24"/>
          <w:szCs w:val="24"/>
        </w:rPr>
      </w:pPr>
      <w:r>
        <w:rPr>
          <w:rFonts w:ascii="Arial" w:hAnsi="Arial" w:cs="Arial"/>
          <w:sz w:val="24"/>
          <w:szCs w:val="24"/>
        </w:rPr>
        <w:t>La Ville de Chandler tient à jour sur internet la liste des contrats qu’elle conclut et qui comportent une dépense d’au moins 25 000 $. Cette liste est publiée conformément à la loi, sur le système électronique d’appel d’offres approuvé par le gouvernement.</w:t>
      </w:r>
    </w:p>
    <w:p w14:paraId="40330A17" w14:textId="679EE4EE" w:rsidR="00A22B5D" w:rsidRDefault="00A22B5D" w:rsidP="00C87358">
      <w:pPr>
        <w:jc w:val="both"/>
        <w:rPr>
          <w:rFonts w:ascii="Arial" w:hAnsi="Arial" w:cs="Arial"/>
          <w:sz w:val="24"/>
          <w:szCs w:val="24"/>
        </w:rPr>
      </w:pPr>
      <w:r>
        <w:rPr>
          <w:rFonts w:ascii="Arial" w:hAnsi="Arial" w:cs="Arial"/>
          <w:sz w:val="24"/>
          <w:szCs w:val="24"/>
        </w:rPr>
        <w:t>Également, tel que requis par la loi, nous présentons la liste de tous les contrats comportant une dépense de plus de 2 000 $ passées au cours du dernier exercice financier complet précédent avec un même cocontractant lorsque l’ensemble de ces contrats comporte une dépense totale qui dépasse 25 000 $.</w:t>
      </w:r>
    </w:p>
    <w:p w14:paraId="5D3AEA2C" w14:textId="5F44D51D" w:rsidR="00A22B5D" w:rsidRDefault="00A22B5D" w:rsidP="00A22B5D">
      <w:pPr>
        <w:pStyle w:val="Paragraphedeliste"/>
        <w:numPr>
          <w:ilvl w:val="0"/>
          <w:numId w:val="2"/>
        </w:numPr>
        <w:jc w:val="both"/>
        <w:rPr>
          <w:rFonts w:ascii="Arial" w:hAnsi="Arial" w:cs="Arial"/>
          <w:b/>
          <w:bCs/>
          <w:sz w:val="24"/>
          <w:szCs w:val="24"/>
        </w:rPr>
      </w:pPr>
      <w:r>
        <w:rPr>
          <w:rFonts w:ascii="Arial" w:hAnsi="Arial" w:cs="Arial"/>
          <w:b/>
          <w:bCs/>
          <w:sz w:val="24"/>
          <w:szCs w:val="24"/>
        </w:rPr>
        <w:t>MESURES</w:t>
      </w:r>
    </w:p>
    <w:p w14:paraId="06B3BFD2" w14:textId="4470AC55" w:rsidR="00A22B5D" w:rsidRDefault="00A22B5D" w:rsidP="00A22B5D">
      <w:pPr>
        <w:jc w:val="both"/>
        <w:rPr>
          <w:rFonts w:ascii="Arial" w:hAnsi="Arial" w:cs="Arial"/>
          <w:sz w:val="24"/>
          <w:szCs w:val="24"/>
        </w:rPr>
      </w:pPr>
      <w:r>
        <w:rPr>
          <w:rFonts w:ascii="Arial" w:hAnsi="Arial" w:cs="Arial"/>
          <w:sz w:val="24"/>
          <w:szCs w:val="24"/>
        </w:rPr>
        <w:t>Des mesures sont établies concernant des situations de tentatives de corruption, d’intimidation, de trafic d’influence, de conflits d’intérêts</w:t>
      </w:r>
      <w:r w:rsidR="000F4B77">
        <w:rPr>
          <w:rFonts w:ascii="Arial" w:hAnsi="Arial" w:cs="Arial"/>
          <w:sz w:val="24"/>
          <w:szCs w:val="24"/>
        </w:rPr>
        <w:t xml:space="preserve"> et autres. Des déclarations ou des dénonciations doivent être faites selon le cas.</w:t>
      </w:r>
    </w:p>
    <w:p w14:paraId="7DC0BECF" w14:textId="77AC2312" w:rsidR="000F4B77" w:rsidRDefault="000F4B77" w:rsidP="00A22B5D">
      <w:pPr>
        <w:jc w:val="both"/>
        <w:rPr>
          <w:rFonts w:ascii="Arial" w:hAnsi="Arial" w:cs="Arial"/>
          <w:sz w:val="24"/>
          <w:szCs w:val="24"/>
        </w:rPr>
      </w:pPr>
      <w:r>
        <w:rPr>
          <w:rFonts w:ascii="Arial" w:hAnsi="Arial" w:cs="Arial"/>
          <w:sz w:val="24"/>
          <w:szCs w:val="24"/>
        </w:rPr>
        <w:t>La Ville de Chandler est dotée d’une politique sur la réception et l’examen des plaintes formulées dans le cadre de l’adjudication ou de l’attribution d’un contrat.</w:t>
      </w:r>
    </w:p>
    <w:p w14:paraId="4F068E49" w14:textId="5BD0B3B1" w:rsidR="000F4B77" w:rsidRDefault="000F4B77" w:rsidP="000F4B77">
      <w:pPr>
        <w:pStyle w:val="Paragraphedeliste"/>
        <w:numPr>
          <w:ilvl w:val="0"/>
          <w:numId w:val="2"/>
        </w:numPr>
        <w:jc w:val="both"/>
        <w:rPr>
          <w:rFonts w:ascii="Arial" w:hAnsi="Arial" w:cs="Arial"/>
          <w:b/>
          <w:bCs/>
          <w:sz w:val="24"/>
          <w:szCs w:val="24"/>
        </w:rPr>
      </w:pPr>
      <w:r>
        <w:rPr>
          <w:rFonts w:ascii="Arial" w:hAnsi="Arial" w:cs="Arial"/>
          <w:b/>
          <w:bCs/>
          <w:sz w:val="24"/>
          <w:szCs w:val="24"/>
        </w:rPr>
        <w:t>PLAINTE</w:t>
      </w:r>
    </w:p>
    <w:p w14:paraId="0B3BA3E1" w14:textId="5B3B6968" w:rsidR="000F4B77" w:rsidRDefault="000F4B77" w:rsidP="000F4B77">
      <w:pPr>
        <w:jc w:val="both"/>
        <w:rPr>
          <w:rFonts w:ascii="Arial" w:hAnsi="Arial" w:cs="Arial"/>
          <w:sz w:val="24"/>
          <w:szCs w:val="24"/>
        </w:rPr>
      </w:pPr>
      <w:r>
        <w:rPr>
          <w:rFonts w:ascii="Arial" w:hAnsi="Arial" w:cs="Arial"/>
          <w:sz w:val="24"/>
          <w:szCs w:val="24"/>
        </w:rPr>
        <w:t>En 2025, aucune plainte n’a été reçue en regard de l’application du Règlement numéro V-266-2025 concernant la gestion contractuelle.</w:t>
      </w:r>
    </w:p>
    <w:p w14:paraId="0B65E962" w14:textId="7BD5D6ED" w:rsidR="000F4B77" w:rsidRDefault="000F4B77" w:rsidP="000F4B77">
      <w:pPr>
        <w:pStyle w:val="Paragraphedeliste"/>
        <w:numPr>
          <w:ilvl w:val="0"/>
          <w:numId w:val="2"/>
        </w:numPr>
        <w:jc w:val="both"/>
        <w:rPr>
          <w:rFonts w:ascii="Arial" w:hAnsi="Arial" w:cs="Arial"/>
          <w:b/>
          <w:bCs/>
          <w:sz w:val="24"/>
          <w:szCs w:val="24"/>
        </w:rPr>
      </w:pPr>
      <w:r>
        <w:rPr>
          <w:rFonts w:ascii="Arial" w:hAnsi="Arial" w:cs="Arial"/>
          <w:b/>
          <w:bCs/>
          <w:sz w:val="24"/>
          <w:szCs w:val="24"/>
        </w:rPr>
        <w:t>SANCTION</w:t>
      </w:r>
    </w:p>
    <w:p w14:paraId="74FF4106" w14:textId="354F0350" w:rsidR="000F4B77" w:rsidRDefault="000F4B77" w:rsidP="000F4B77">
      <w:pPr>
        <w:jc w:val="both"/>
        <w:rPr>
          <w:rFonts w:ascii="Arial" w:hAnsi="Arial" w:cs="Arial"/>
          <w:sz w:val="24"/>
          <w:szCs w:val="24"/>
        </w:rPr>
      </w:pPr>
      <w:r>
        <w:rPr>
          <w:rFonts w:ascii="Arial" w:hAnsi="Arial" w:cs="Arial"/>
          <w:sz w:val="24"/>
          <w:szCs w:val="24"/>
        </w:rPr>
        <w:t>En 2025, aucune sanction n’a été appliquée relativement à l’application du Règlement numéro V-266-2025 concernant la gestion contractuelle à la Ville de Chandler.</w:t>
      </w:r>
    </w:p>
    <w:p w14:paraId="4A9FD0F1" w14:textId="71362D95" w:rsidR="000F4B77" w:rsidRDefault="000F4B77" w:rsidP="000F4B77">
      <w:pPr>
        <w:pStyle w:val="Paragraphedeliste"/>
        <w:numPr>
          <w:ilvl w:val="0"/>
          <w:numId w:val="2"/>
        </w:numPr>
        <w:jc w:val="both"/>
        <w:rPr>
          <w:rFonts w:ascii="Arial" w:hAnsi="Arial" w:cs="Arial"/>
          <w:b/>
          <w:bCs/>
          <w:sz w:val="24"/>
          <w:szCs w:val="24"/>
        </w:rPr>
      </w:pPr>
      <w:r>
        <w:rPr>
          <w:rFonts w:ascii="Arial" w:hAnsi="Arial" w:cs="Arial"/>
          <w:b/>
          <w:bCs/>
          <w:sz w:val="24"/>
          <w:szCs w:val="24"/>
        </w:rPr>
        <w:t>CONCLUSION</w:t>
      </w:r>
    </w:p>
    <w:p w14:paraId="0FE62C58" w14:textId="0DA8D9F0" w:rsidR="000F4B77" w:rsidRPr="000F4B77" w:rsidRDefault="000F4B77" w:rsidP="000F4B77">
      <w:pPr>
        <w:jc w:val="both"/>
        <w:rPr>
          <w:rFonts w:ascii="Arial" w:hAnsi="Arial" w:cs="Arial"/>
          <w:sz w:val="24"/>
          <w:szCs w:val="24"/>
        </w:rPr>
      </w:pPr>
      <w:r w:rsidRPr="000F4B77">
        <w:rPr>
          <w:rFonts w:ascii="Arial" w:hAnsi="Arial" w:cs="Arial"/>
          <w:sz w:val="24"/>
          <w:szCs w:val="24"/>
        </w:rPr>
        <w:t>La Ville de Chandler s’assure du respect des règles d’attribution de contrats. La prudence, la rigueur, la transparence et l’impartialité sont les valeurs qui guident la Ville dans les différents processus d’octroi des contrats.</w:t>
      </w:r>
    </w:p>
    <w:p w14:paraId="29EFDF10" w14:textId="4D8508E5" w:rsidR="005D1A9A" w:rsidRPr="00DD6209" w:rsidRDefault="000F4B77" w:rsidP="005D1A9A">
      <w:pPr>
        <w:jc w:val="both"/>
        <w:rPr>
          <w:rFonts w:ascii="Arial" w:hAnsi="Arial" w:cs="Arial"/>
          <w:sz w:val="24"/>
          <w:szCs w:val="24"/>
        </w:rPr>
      </w:pPr>
      <w:r w:rsidRPr="000F4B77">
        <w:rPr>
          <w:rFonts w:ascii="Arial" w:hAnsi="Arial" w:cs="Arial"/>
          <w:sz w:val="24"/>
          <w:szCs w:val="24"/>
        </w:rPr>
        <w:t>Ce rapport annuel, déposé lors de la séance du 7 avril 2025, sera disponible sur le site web de la municipalité.</w:t>
      </w:r>
    </w:p>
    <w:sectPr w:rsidR="005D1A9A" w:rsidRPr="00DD6209" w:rsidSect="002A6806">
      <w:footerReference w:type="default" r:id="rId9"/>
      <w:pgSz w:w="12240" w:h="15840"/>
      <w:pgMar w:top="1701" w:right="1134"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A1C2E" w14:textId="77777777" w:rsidR="00C54096" w:rsidRDefault="00C54096" w:rsidP="00DD6209">
      <w:pPr>
        <w:spacing w:after="0" w:line="240" w:lineRule="auto"/>
      </w:pPr>
      <w:r>
        <w:separator/>
      </w:r>
    </w:p>
  </w:endnote>
  <w:endnote w:type="continuationSeparator" w:id="0">
    <w:p w14:paraId="261845B5" w14:textId="77777777" w:rsidR="00C54096" w:rsidRDefault="00C54096" w:rsidP="00DD6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0630134"/>
      <w:docPartObj>
        <w:docPartGallery w:val="Page Numbers (Bottom of Page)"/>
        <w:docPartUnique/>
      </w:docPartObj>
    </w:sdtPr>
    <w:sdtEndPr/>
    <w:sdtContent>
      <w:p w14:paraId="4259829C" w14:textId="1A2B1AC0" w:rsidR="00DD6209" w:rsidRDefault="00DD6209">
        <w:pPr>
          <w:pStyle w:val="Pieddepage"/>
          <w:jc w:val="right"/>
        </w:pPr>
        <w:r>
          <w:fldChar w:fldCharType="begin"/>
        </w:r>
        <w:r>
          <w:instrText>PAGE   \* MERGEFORMAT</w:instrText>
        </w:r>
        <w:r>
          <w:fldChar w:fldCharType="separate"/>
        </w:r>
        <w:r>
          <w:rPr>
            <w:lang w:val="fr-FR"/>
          </w:rPr>
          <w:t>2</w:t>
        </w:r>
        <w:r>
          <w:fldChar w:fldCharType="end"/>
        </w:r>
      </w:p>
    </w:sdtContent>
  </w:sdt>
  <w:p w14:paraId="119E7A46" w14:textId="77777777" w:rsidR="00DD6209" w:rsidRDefault="00DD620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98D4D" w14:textId="77777777" w:rsidR="00C54096" w:rsidRDefault="00C54096" w:rsidP="00DD6209">
      <w:pPr>
        <w:spacing w:after="0" w:line="240" w:lineRule="auto"/>
      </w:pPr>
      <w:r>
        <w:separator/>
      </w:r>
    </w:p>
  </w:footnote>
  <w:footnote w:type="continuationSeparator" w:id="0">
    <w:p w14:paraId="3F81746A" w14:textId="77777777" w:rsidR="00C54096" w:rsidRDefault="00C54096" w:rsidP="00DD62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431BBD"/>
    <w:multiLevelType w:val="hybridMultilevel"/>
    <w:tmpl w:val="6386913E"/>
    <w:lvl w:ilvl="0" w:tplc="B5EA84F6">
      <w:start w:val="3"/>
      <w:numFmt w:val="bullet"/>
      <w:lvlText w:val="-"/>
      <w:lvlJc w:val="left"/>
      <w:pPr>
        <w:ind w:left="1065" w:hanging="360"/>
      </w:pPr>
      <w:rPr>
        <w:rFonts w:ascii="Arial" w:eastAsiaTheme="minorHAnsi" w:hAnsi="Arial" w:cs="Arial" w:hint="default"/>
      </w:rPr>
    </w:lvl>
    <w:lvl w:ilvl="1" w:tplc="0C0C0003" w:tentative="1">
      <w:start w:val="1"/>
      <w:numFmt w:val="bullet"/>
      <w:lvlText w:val="o"/>
      <w:lvlJc w:val="left"/>
      <w:pPr>
        <w:ind w:left="1785" w:hanging="360"/>
      </w:pPr>
      <w:rPr>
        <w:rFonts w:ascii="Courier New" w:hAnsi="Courier New" w:cs="Courier New" w:hint="default"/>
      </w:rPr>
    </w:lvl>
    <w:lvl w:ilvl="2" w:tplc="0C0C0005" w:tentative="1">
      <w:start w:val="1"/>
      <w:numFmt w:val="bullet"/>
      <w:lvlText w:val=""/>
      <w:lvlJc w:val="left"/>
      <w:pPr>
        <w:ind w:left="2505" w:hanging="360"/>
      </w:pPr>
      <w:rPr>
        <w:rFonts w:ascii="Wingdings" w:hAnsi="Wingdings" w:hint="default"/>
      </w:rPr>
    </w:lvl>
    <w:lvl w:ilvl="3" w:tplc="0C0C0001" w:tentative="1">
      <w:start w:val="1"/>
      <w:numFmt w:val="bullet"/>
      <w:lvlText w:val=""/>
      <w:lvlJc w:val="left"/>
      <w:pPr>
        <w:ind w:left="3225" w:hanging="360"/>
      </w:pPr>
      <w:rPr>
        <w:rFonts w:ascii="Symbol" w:hAnsi="Symbol" w:hint="default"/>
      </w:rPr>
    </w:lvl>
    <w:lvl w:ilvl="4" w:tplc="0C0C0003" w:tentative="1">
      <w:start w:val="1"/>
      <w:numFmt w:val="bullet"/>
      <w:lvlText w:val="o"/>
      <w:lvlJc w:val="left"/>
      <w:pPr>
        <w:ind w:left="3945" w:hanging="360"/>
      </w:pPr>
      <w:rPr>
        <w:rFonts w:ascii="Courier New" w:hAnsi="Courier New" w:cs="Courier New" w:hint="default"/>
      </w:rPr>
    </w:lvl>
    <w:lvl w:ilvl="5" w:tplc="0C0C0005" w:tentative="1">
      <w:start w:val="1"/>
      <w:numFmt w:val="bullet"/>
      <w:lvlText w:val=""/>
      <w:lvlJc w:val="left"/>
      <w:pPr>
        <w:ind w:left="4665" w:hanging="360"/>
      </w:pPr>
      <w:rPr>
        <w:rFonts w:ascii="Wingdings" w:hAnsi="Wingdings" w:hint="default"/>
      </w:rPr>
    </w:lvl>
    <w:lvl w:ilvl="6" w:tplc="0C0C0001" w:tentative="1">
      <w:start w:val="1"/>
      <w:numFmt w:val="bullet"/>
      <w:lvlText w:val=""/>
      <w:lvlJc w:val="left"/>
      <w:pPr>
        <w:ind w:left="5385" w:hanging="360"/>
      </w:pPr>
      <w:rPr>
        <w:rFonts w:ascii="Symbol" w:hAnsi="Symbol" w:hint="default"/>
      </w:rPr>
    </w:lvl>
    <w:lvl w:ilvl="7" w:tplc="0C0C0003" w:tentative="1">
      <w:start w:val="1"/>
      <w:numFmt w:val="bullet"/>
      <w:lvlText w:val="o"/>
      <w:lvlJc w:val="left"/>
      <w:pPr>
        <w:ind w:left="6105" w:hanging="360"/>
      </w:pPr>
      <w:rPr>
        <w:rFonts w:ascii="Courier New" w:hAnsi="Courier New" w:cs="Courier New" w:hint="default"/>
      </w:rPr>
    </w:lvl>
    <w:lvl w:ilvl="8" w:tplc="0C0C0005" w:tentative="1">
      <w:start w:val="1"/>
      <w:numFmt w:val="bullet"/>
      <w:lvlText w:val=""/>
      <w:lvlJc w:val="left"/>
      <w:pPr>
        <w:ind w:left="6825" w:hanging="360"/>
      </w:pPr>
      <w:rPr>
        <w:rFonts w:ascii="Wingdings" w:hAnsi="Wingdings" w:hint="default"/>
      </w:rPr>
    </w:lvl>
  </w:abstractNum>
  <w:abstractNum w:abstractNumId="1" w15:restartNumberingAfterBreak="0">
    <w:nsid w:val="64B54626"/>
    <w:multiLevelType w:val="hybridMultilevel"/>
    <w:tmpl w:val="0BDEC0E8"/>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654675D3"/>
    <w:multiLevelType w:val="hybridMultilevel"/>
    <w:tmpl w:val="76169214"/>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1139616114">
    <w:abstractNumId w:val="2"/>
  </w:num>
  <w:num w:numId="2" w16cid:durableId="456529167">
    <w:abstractNumId w:val="1"/>
  </w:num>
  <w:num w:numId="3" w16cid:durableId="1015114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4D0"/>
    <w:rsid w:val="000F4B77"/>
    <w:rsid w:val="00130504"/>
    <w:rsid w:val="001844D0"/>
    <w:rsid w:val="001D249B"/>
    <w:rsid w:val="001F4FE7"/>
    <w:rsid w:val="00271F1F"/>
    <w:rsid w:val="002A6806"/>
    <w:rsid w:val="003D62C5"/>
    <w:rsid w:val="005D1A9A"/>
    <w:rsid w:val="0065343A"/>
    <w:rsid w:val="00682631"/>
    <w:rsid w:val="007C6D25"/>
    <w:rsid w:val="008447A4"/>
    <w:rsid w:val="008D3839"/>
    <w:rsid w:val="00A22B5D"/>
    <w:rsid w:val="00A45A1C"/>
    <w:rsid w:val="00A5428F"/>
    <w:rsid w:val="00C54096"/>
    <w:rsid w:val="00C87358"/>
    <w:rsid w:val="00DD6209"/>
    <w:rsid w:val="00E00558"/>
    <w:rsid w:val="00EB0361"/>
    <w:rsid w:val="00F16C42"/>
    <w:rsid w:val="00F92A4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AFF64"/>
  <w15:chartTrackingRefBased/>
  <w15:docId w15:val="{42B72BBD-8455-4B2A-B1A1-2539678BD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844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844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844D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844D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844D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844D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844D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844D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844D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844D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844D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844D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844D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844D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844D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844D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844D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844D0"/>
    <w:rPr>
      <w:rFonts w:eastAsiaTheme="majorEastAsia" w:cstheme="majorBidi"/>
      <w:color w:val="272727" w:themeColor="text1" w:themeTint="D8"/>
    </w:rPr>
  </w:style>
  <w:style w:type="paragraph" w:styleId="Titre">
    <w:name w:val="Title"/>
    <w:basedOn w:val="Normal"/>
    <w:next w:val="Normal"/>
    <w:link w:val="TitreCar"/>
    <w:uiPriority w:val="10"/>
    <w:qFormat/>
    <w:rsid w:val="001844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844D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844D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844D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844D0"/>
    <w:pPr>
      <w:spacing w:before="160"/>
      <w:jc w:val="center"/>
    </w:pPr>
    <w:rPr>
      <w:i/>
      <w:iCs/>
      <w:color w:val="404040" w:themeColor="text1" w:themeTint="BF"/>
    </w:rPr>
  </w:style>
  <w:style w:type="character" w:customStyle="1" w:styleId="CitationCar">
    <w:name w:val="Citation Car"/>
    <w:basedOn w:val="Policepardfaut"/>
    <w:link w:val="Citation"/>
    <w:uiPriority w:val="29"/>
    <w:rsid w:val="001844D0"/>
    <w:rPr>
      <w:i/>
      <w:iCs/>
      <w:color w:val="404040" w:themeColor="text1" w:themeTint="BF"/>
    </w:rPr>
  </w:style>
  <w:style w:type="paragraph" w:styleId="Paragraphedeliste">
    <w:name w:val="List Paragraph"/>
    <w:basedOn w:val="Normal"/>
    <w:uiPriority w:val="34"/>
    <w:qFormat/>
    <w:rsid w:val="001844D0"/>
    <w:pPr>
      <w:ind w:left="720"/>
      <w:contextualSpacing/>
    </w:pPr>
  </w:style>
  <w:style w:type="character" w:styleId="Accentuationintense">
    <w:name w:val="Intense Emphasis"/>
    <w:basedOn w:val="Policepardfaut"/>
    <w:uiPriority w:val="21"/>
    <w:qFormat/>
    <w:rsid w:val="001844D0"/>
    <w:rPr>
      <w:i/>
      <w:iCs/>
      <w:color w:val="0F4761" w:themeColor="accent1" w:themeShade="BF"/>
    </w:rPr>
  </w:style>
  <w:style w:type="paragraph" w:styleId="Citationintense">
    <w:name w:val="Intense Quote"/>
    <w:basedOn w:val="Normal"/>
    <w:next w:val="Normal"/>
    <w:link w:val="CitationintenseCar"/>
    <w:uiPriority w:val="30"/>
    <w:qFormat/>
    <w:rsid w:val="001844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844D0"/>
    <w:rPr>
      <w:i/>
      <w:iCs/>
      <w:color w:val="0F4761" w:themeColor="accent1" w:themeShade="BF"/>
    </w:rPr>
  </w:style>
  <w:style w:type="character" w:styleId="Rfrenceintense">
    <w:name w:val="Intense Reference"/>
    <w:basedOn w:val="Policepardfaut"/>
    <w:uiPriority w:val="32"/>
    <w:qFormat/>
    <w:rsid w:val="001844D0"/>
    <w:rPr>
      <w:b/>
      <w:bCs/>
      <w:smallCaps/>
      <w:color w:val="0F4761" w:themeColor="accent1" w:themeShade="BF"/>
      <w:spacing w:val="5"/>
    </w:rPr>
  </w:style>
  <w:style w:type="character" w:styleId="Lienhypertexte">
    <w:name w:val="Hyperlink"/>
    <w:basedOn w:val="Policepardfaut"/>
    <w:uiPriority w:val="99"/>
    <w:unhideWhenUsed/>
    <w:rsid w:val="00C87358"/>
    <w:rPr>
      <w:color w:val="467886" w:themeColor="hyperlink"/>
      <w:u w:val="single"/>
    </w:rPr>
  </w:style>
  <w:style w:type="character" w:styleId="Mentionnonrsolue">
    <w:name w:val="Unresolved Mention"/>
    <w:basedOn w:val="Policepardfaut"/>
    <w:uiPriority w:val="99"/>
    <w:semiHidden/>
    <w:unhideWhenUsed/>
    <w:rsid w:val="00C87358"/>
    <w:rPr>
      <w:color w:val="605E5C"/>
      <w:shd w:val="clear" w:color="auto" w:fill="E1DFDD"/>
    </w:rPr>
  </w:style>
  <w:style w:type="paragraph" w:styleId="En-tte">
    <w:name w:val="header"/>
    <w:basedOn w:val="Normal"/>
    <w:link w:val="En-tteCar"/>
    <w:uiPriority w:val="99"/>
    <w:unhideWhenUsed/>
    <w:rsid w:val="00DD6209"/>
    <w:pPr>
      <w:tabs>
        <w:tab w:val="center" w:pos="4703"/>
        <w:tab w:val="right" w:pos="9406"/>
      </w:tabs>
      <w:spacing w:after="0" w:line="240" w:lineRule="auto"/>
    </w:pPr>
  </w:style>
  <w:style w:type="character" w:customStyle="1" w:styleId="En-tteCar">
    <w:name w:val="En-tête Car"/>
    <w:basedOn w:val="Policepardfaut"/>
    <w:link w:val="En-tte"/>
    <w:uiPriority w:val="99"/>
    <w:rsid w:val="00DD6209"/>
  </w:style>
  <w:style w:type="paragraph" w:styleId="Pieddepage">
    <w:name w:val="footer"/>
    <w:basedOn w:val="Normal"/>
    <w:link w:val="PieddepageCar"/>
    <w:uiPriority w:val="99"/>
    <w:unhideWhenUsed/>
    <w:rsid w:val="00DD6209"/>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DD6209"/>
  </w:style>
  <w:style w:type="character" w:styleId="Lienhypertextesuivivisit">
    <w:name w:val="FollowedHyperlink"/>
    <w:basedOn w:val="Policepardfaut"/>
    <w:uiPriority w:val="99"/>
    <w:semiHidden/>
    <w:unhideWhenUsed/>
    <w:rsid w:val="002A680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illedechandler.com/wp-content/uploads/2025/04/Reglement-V-266-2025-Politique-gestion-contractuelle-Chandler-modifie-final.pdf"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702</Words>
  <Characters>4023</Characters>
  <Application>Microsoft Office Word</Application>
  <DocSecurity>0</DocSecurity>
  <Lines>125</Lines>
  <Paragraphs>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Roch Giroux</dc:creator>
  <cp:keywords/>
  <dc:description/>
  <cp:lastModifiedBy>Annick Cotton</cp:lastModifiedBy>
  <cp:revision>4</cp:revision>
  <cp:lastPrinted>2026-04-02T17:17:00Z</cp:lastPrinted>
  <dcterms:created xsi:type="dcterms:W3CDTF">2026-04-02T17:16:00Z</dcterms:created>
  <dcterms:modified xsi:type="dcterms:W3CDTF">2026-04-10T13:59:00Z</dcterms:modified>
</cp:coreProperties>
</file>